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9961B">
      <w:pPr>
        <w:pStyle w:val="3"/>
        <w:widowControl/>
        <w:spacing w:beforeAutospacing="0" w:afterAutospacing="0" w:line="520" w:lineRule="exact"/>
        <w:jc w:val="center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附件1：课题申报选题指南</w:t>
      </w:r>
    </w:p>
    <w:p w14:paraId="411FFD78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结合当前民办教育发展新形势、新要求，围绕</w:t>
      </w:r>
      <w:r>
        <w:rPr>
          <w:rStyle w:val="13"/>
          <w:rFonts w:hint="eastAsia" w:ascii="宋体" w:hAnsi="宋体"/>
          <w:b w:val="0"/>
          <w:kern w:val="0"/>
          <w:sz w:val="28"/>
          <w:szCs w:val="28"/>
        </w:rPr>
        <w:t>党建引领、AI+教育转型、规范治理与风险防控、生源结构变化应对、分类管理与有序退出、产教深度融合、普惠民办提质、教师队伍权益保障、长三角协同发展</w:t>
      </w:r>
      <w:r>
        <w:rPr>
          <w:rFonts w:hint="eastAsia" w:ascii="宋体" w:hAnsi="宋体"/>
          <w:kern w:val="0"/>
          <w:sz w:val="28"/>
          <w:szCs w:val="28"/>
        </w:rPr>
        <w:t>等热点设置选题方向，每个方向明确研究目的与参考子选题，具体如下：</w:t>
      </w:r>
    </w:p>
    <w:p w14:paraId="6AD6DAC7">
      <w:pPr>
        <w:pStyle w:val="4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1.新时代民办学校党建引领与立德树人高质量发展研究</w:t>
      </w:r>
    </w:p>
    <w:p w14:paraId="1B597BE9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立足民办学校“党办教育”根本定位，深化党建与育人工作深度融合研究，总结民办学校立德树人特色路径、创新模式与典型案例，聚焦思政教育、五育并举、校园文化建设、心理健康教育等重点领域，剖析现存问题并提出可落地、可复制的优化策略与政策建议，全面彰显民办学校育人特色与办学担当。包括但不限于以下方面：</w:t>
      </w:r>
    </w:p>
    <w:p w14:paraId="5B0038DF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（1）民办大中小学思政课一体化建设提质增效实践研究 </w:t>
      </w:r>
    </w:p>
    <w:p w14:paraId="5057D2D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（2）民办学校党建引领治理、融入教育教学全过程机制研究 </w:t>
      </w:r>
    </w:p>
    <w:p w14:paraId="76600CB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（3）民办学校学生心理健康教育体系构建与实践研究</w:t>
      </w:r>
    </w:p>
    <w:p w14:paraId="7DF4F947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（4）民办学校创新创业教育、职业生涯教育和安全教育等一体化育人机制研究 </w:t>
      </w:r>
    </w:p>
    <w:p w14:paraId="11BCE515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（5）民办学校新时代师德师风建设长效机制研究</w:t>
      </w:r>
    </w:p>
    <w:p w14:paraId="7288F63F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（6）民办学校职业生涯教育校本课程开发与实施研究</w:t>
      </w:r>
    </w:p>
    <w:p w14:paraId="2EDBE8EC">
      <w:pPr>
        <w:pStyle w:val="4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2.人工智能赋能民办教育全链条转型实践研究</w:t>
      </w:r>
    </w:p>
    <w:p w14:paraId="46A9C530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紧扣人工智能重塑教育发展格局趋势，面向民办学前教育、基础教育、高等教育、职业教育全学段，探索人工智能在教学、管理、评价、服务、实训等场景的落地应用，研究数字化转型路径、课程改革、师资数字素养提升等内容，形成可推广的实践模式、课程体系与改革方案，为民办教育抢抓数字化发展机遇提供理论支撑与实践参考。包括但不限于以下方面：</w:t>
      </w:r>
    </w:p>
    <w:p w14:paraId="402AF59F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（1）民办学校全链条AI教育转型路径与核心竞争力培育研究 </w:t>
      </w:r>
    </w:p>
    <w:p w14:paraId="1DF48D6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（2）人工智能背景下民办中小学小班化教学改革实践研究</w:t>
      </w:r>
    </w:p>
    <w:p w14:paraId="4A4A8A9E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（3）民办学校师生数字素养培育体系与教学应用研究 </w:t>
      </w:r>
    </w:p>
    <w:p w14:paraId="272FB590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（4）民办幼儿园数字化保教与联合教研创新机制研究 </w:t>
      </w:r>
    </w:p>
    <w:p w14:paraId="5D7E8B2F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（5）人工智能赋能民办学校课堂教学、实践教学、质量保障等改革研究</w:t>
      </w:r>
    </w:p>
    <w:p w14:paraId="79CDCACB">
      <w:pPr>
        <w:pStyle w:val="4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3.民办学校规范治理、风险防控与可持续发展研究</w:t>
      </w:r>
    </w:p>
    <w:p w14:paraId="2FFA2790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：顺应民办教育</w:t>
      </w:r>
      <w:r>
        <w:rPr>
          <w:rStyle w:val="13"/>
          <w:rFonts w:hint="eastAsia" w:ascii="宋体" w:hAnsi="宋体"/>
          <w:b w:val="0"/>
          <w:kern w:val="0"/>
          <w:sz w:val="28"/>
          <w:szCs w:val="28"/>
        </w:rPr>
        <w:t>分类管理、扶优汰劣、有序退出</w:t>
      </w:r>
      <w:r>
        <w:rPr>
          <w:rFonts w:hint="eastAsia" w:ascii="宋体" w:hAnsi="宋体"/>
          <w:kern w:val="0"/>
          <w:sz w:val="28"/>
          <w:szCs w:val="28"/>
        </w:rPr>
        <w:t>政策导向，结合学龄人口变化、生源结构调整、办学成本上涨等现实挑战，聚焦民办学校法人治理、财务监管、信息公开、信用评价、办学风险防控、有序退出机制等关键领域开展研究，梳理实践难题，完善治理体系，探索存量民办学校内涵提质、特色发展、风险化解路径，推动民办学校从规模扩张向质量提升转型。 包括但不限于以下方面：</w:t>
      </w:r>
    </w:p>
    <w:p w14:paraId="324F4279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（1）民办学校分类管理落地、法人治理结构优化研究</w:t>
      </w:r>
    </w:p>
    <w:p w14:paraId="15CE99B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（2）民办高校应对生源结构变化、招生与人才培养联动机制研究</w:t>
      </w:r>
    </w:p>
    <w:p w14:paraId="0D3969A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（3）民办学校财务监管、资金风险防控与关联交易规范研究</w:t>
      </w:r>
    </w:p>
    <w:p w14:paraId="46A22C61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（4）民办学校信用评价体系、办学信息公开机制建设研究</w:t>
      </w:r>
    </w:p>
    <w:p w14:paraId="13F140DC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（5）民办教育有序退出机制、师生权益保障路径研究</w:t>
      </w:r>
    </w:p>
    <w:p w14:paraId="0226AC6B">
      <w:pPr>
        <w:widowControl/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（6）民办学校“十五五”发展规划实施评价机制研究</w:t>
      </w:r>
    </w:p>
    <w:p w14:paraId="0D6BE13E">
      <w:pPr>
        <w:pStyle w:val="4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4.现代职业教育体系建设与民办应用型高校提质发展研究</w:t>
      </w:r>
    </w:p>
    <w:p w14:paraId="7CC9D087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：紧扣中国式现代化与新质生产力发展要求，立足上海产业升级人才需求，聚焦民办高校职业人才培养，深化</w:t>
      </w:r>
      <w:r>
        <w:rPr>
          <w:rStyle w:val="13"/>
          <w:rFonts w:hint="eastAsia" w:ascii="宋体" w:hAnsi="宋体"/>
          <w:b w:val="0"/>
          <w:kern w:val="0"/>
          <w:sz w:val="28"/>
          <w:szCs w:val="28"/>
        </w:rPr>
        <w:t>产教融合、校企合作、普职融通</w:t>
      </w:r>
      <w:r>
        <w:rPr>
          <w:rFonts w:hint="eastAsia" w:ascii="宋体" w:hAnsi="宋体"/>
          <w:kern w:val="0"/>
          <w:sz w:val="28"/>
          <w:szCs w:val="28"/>
        </w:rPr>
        <w:t xml:space="preserve">，强化职业启蒙、人才培养、师资队伍、就业服务等领域研究，破解民办职业教育发展瓶颈，完善现代职业教育办学体系，培养更多高素质技术技能人才、应用型人才。包括但不限于以下方面： </w:t>
      </w:r>
    </w:p>
    <w:p w14:paraId="5AF0CA84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（1）民办高校产教深度融合、校企协同育人长效机制研究</w:t>
      </w:r>
    </w:p>
    <w:p w14:paraId="57A0AE88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（2）高水平“双师型”教师队伍建设与权益保障研究</w:t>
      </w:r>
    </w:p>
    <w:p w14:paraId="764F852D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（3）基础教育阶段职业启蒙教育与民办学校参与路径研究 </w:t>
      </w:r>
    </w:p>
    <w:p w14:paraId="5EB2F53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（4）各级各类教育普职融通、学分互认实践机制研究</w:t>
      </w:r>
    </w:p>
    <w:p w14:paraId="65B88B80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（5）民办学校特殊群体（低收入家庭、残疾学生、学业困难生）生涯发展帮扶与支持研究</w:t>
      </w:r>
    </w:p>
    <w:p w14:paraId="010E51F1">
      <w:pPr>
        <w:pStyle w:val="4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5.深化教育综合改革与民办教育区域协同创新研究</w:t>
      </w:r>
    </w:p>
    <w:p w14:paraId="6A7E6AB6">
      <w:pPr>
        <w:widowControl/>
        <w:spacing w:line="520" w:lineRule="exact"/>
        <w:ind w:firstLine="562" w:firstLineChars="200"/>
        <w:rPr>
          <w:rFonts w:ascii="宋体" w:hAnsi="宋体"/>
          <w:kern w:val="0"/>
          <w:sz w:val="28"/>
          <w:szCs w:val="28"/>
        </w:rPr>
      </w:pPr>
      <w:r>
        <w:rPr>
          <w:rStyle w:val="13"/>
          <w:rFonts w:hint="eastAsia" w:ascii="宋体" w:hAnsi="宋体"/>
          <w:kern w:val="0"/>
          <w:sz w:val="28"/>
          <w:szCs w:val="28"/>
        </w:rPr>
        <w:t>研究目的</w:t>
      </w:r>
      <w:r>
        <w:rPr>
          <w:rFonts w:hint="eastAsia" w:ascii="宋体" w:hAnsi="宋体"/>
          <w:kern w:val="0"/>
          <w:sz w:val="28"/>
          <w:szCs w:val="28"/>
        </w:rPr>
        <w:t>：充分发挥民办教育体制机制灵活优势，围绕教育综合改革重点任务，破解办学发展堵点难点，聚焦教师队伍建设、学科专业优化、办学资源整合、区域协同发展等方向开展研究，总结改革经验、提炼工作对策，推动民办教育深度融入区域教育发展大局，激发办学内生动力与发展活力。包括但不限于以下方面：</w:t>
      </w:r>
    </w:p>
    <w:p w14:paraId="6230395E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（1）民办学校教师队伍建设与专业发展保障机制研究</w:t>
      </w:r>
    </w:p>
    <w:p w14:paraId="4740DC71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 xml:space="preserve">（2）民办高校学科专业动态调整、对接区域产业需求机制研究 </w:t>
      </w:r>
    </w:p>
    <w:p w14:paraId="5FB616D5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（3）普惠性民办幼儿园、民办基础教育质量提升路径研究</w:t>
      </w:r>
    </w:p>
    <w:p w14:paraId="39F901AB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（4）民办学校长三角一体化协同办学、资源共享、联动发展机制研究</w:t>
      </w:r>
    </w:p>
    <w:p w14:paraId="6C1CA9D3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（5）民办学校国际交流合作规范化发展实践研究</w:t>
      </w:r>
    </w:p>
    <w:p w14:paraId="296C7D24">
      <w:pPr>
        <w:widowControl/>
        <w:spacing w:line="520" w:lineRule="exact"/>
        <w:ind w:firstLine="560" w:firstLineChars="200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（6）民办学校打造不同区域中外合作交流项目品牌实践探索</w:t>
      </w:r>
    </w:p>
    <w:p w14:paraId="7347EEB5">
      <w:pPr>
        <w:pStyle w:val="4"/>
        <w:widowControl/>
        <w:spacing w:beforeAutospacing="0" w:afterAutospacing="0" w:line="520" w:lineRule="exact"/>
        <w:ind w:firstLine="562" w:firstLineChars="200"/>
        <w:jc w:val="both"/>
        <w:rPr>
          <w:rFonts w:hint="default" w:cs="宋体"/>
          <w:sz w:val="28"/>
          <w:szCs w:val="28"/>
        </w:rPr>
      </w:pPr>
      <w:r>
        <w:rPr>
          <w:rFonts w:cs="宋体"/>
          <w:sz w:val="28"/>
          <w:szCs w:val="28"/>
        </w:rPr>
        <w:t>6.民办培训机构合规运营、转型发展与质量提升研究</w:t>
      </w:r>
    </w:p>
    <w:p w14:paraId="630E25CA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研究目的：严格落实校外教育培训监管相关法律法规与政策要求，聚焦学科类、非学科类培训机构规范化运营、业态转型、内涵发展等核心问题，围绕机构治理、课程建设、师资管理、收费监管、安全管理、家庭教育协同、数字化应用等内容开展实证调研与深度分析，梳理当前培训机构发展痛点、监管难点与转型路径，提炼合规经营典型模式，提出针对性对策建议，引导民办培训机构回归教育本源，助力构建健康有序的校外培训生态。包括但不限于以下方面：</w:t>
      </w:r>
    </w:p>
    <w:p w14:paraId="08764C74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（1）新时代民办培训机构党建工作与意识形态建设实践研究 </w:t>
      </w:r>
    </w:p>
    <w:p w14:paraId="7D7D41D4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（2）非学科类培训机构课程体系构建、教学质量评价体系研究 </w:t>
      </w:r>
    </w:p>
    <w:p w14:paraId="545DD95D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（3）校外培训机构师资准入、专业发展与权益保障机制研究 </w:t>
      </w:r>
    </w:p>
    <w:p w14:paraId="4B52E6F0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（4）民办培训机构收费管理、预收费监管、财务风险防控研究 </w:t>
      </w:r>
    </w:p>
    <w:p w14:paraId="02DEA60D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 xml:space="preserve">（5）人工智能赋能校外培训机构教学创新与服务升级研究 </w:t>
      </w:r>
    </w:p>
    <w:p w14:paraId="2E9C7FEB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（6）“双减”背景下培训机构转型发展与特色办学实践研究</w:t>
      </w:r>
      <w:bookmarkStart w:id="0" w:name="_GoBack"/>
    </w:p>
    <w:p w14:paraId="1E2B1480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hint="default" w:cs="宋体"/>
          <w:b w:val="0"/>
          <w:bCs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（7）培训机构安全管理、服务规范与家校协同育人机制研究</w:t>
      </w:r>
    </w:p>
    <w:bookmarkEnd w:id="0"/>
    <w:p w14:paraId="7E3CDB1C">
      <w:pPr>
        <w:pStyle w:val="4"/>
        <w:widowControl/>
        <w:spacing w:beforeAutospacing="0" w:afterAutospacing="0" w:line="520" w:lineRule="exact"/>
        <w:ind w:firstLine="560" w:firstLineChars="200"/>
        <w:jc w:val="both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cs="宋体"/>
          <w:b w:val="0"/>
          <w:bCs w:val="0"/>
          <w:sz w:val="28"/>
          <w:szCs w:val="28"/>
        </w:rPr>
        <w:t>（8）校外培训综合治理、信用监管与长效监管机制研究</w:t>
      </w:r>
    </w:p>
    <w:p w14:paraId="69DC7211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7BCC9C70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DCA3628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2926FFA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5559F92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26C2DF0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4D081838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7ACA3DD1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7423A152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256A8CFB">
      <w:pPr>
        <w:widowControl/>
        <w:tabs>
          <w:tab w:val="left" w:pos="720"/>
        </w:tabs>
        <w:spacing w:line="360" w:lineRule="auto"/>
        <w:jc w:val="left"/>
        <w:rPr>
          <w:rFonts w:ascii="宋体" w:hAnsi="宋体"/>
          <w:color w:val="000000"/>
          <w:kern w:val="0"/>
          <w:sz w:val="28"/>
          <w:szCs w:val="28"/>
        </w:rPr>
      </w:pPr>
    </w:p>
    <w:p w14:paraId="608F3930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p w14:paraId="5D36A415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1"/>
    <w:rsid w:val="001965C6"/>
    <w:rsid w:val="00984786"/>
    <w:rsid w:val="009C445C"/>
    <w:rsid w:val="00AA44B1"/>
    <w:rsid w:val="10B322CF"/>
    <w:rsid w:val="207A6C3E"/>
    <w:rsid w:val="7A07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6"/>
    <w:uiPriority w:val="0"/>
    <w:pPr>
      <w:ind w:left="100" w:leftChars="2500"/>
    </w:pPr>
  </w:style>
  <w:style w:type="paragraph" w:styleId="6">
    <w:name w:val="Balloon Text"/>
    <w:basedOn w:val="1"/>
    <w:link w:val="17"/>
    <w:uiPriority w:val="0"/>
    <w:rPr>
      <w:sz w:val="18"/>
      <w:szCs w:val="18"/>
    </w:rPr>
  </w:style>
  <w:style w:type="paragraph" w:styleId="7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rPr>
      <w:sz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Char"/>
    <w:basedOn w:val="12"/>
    <w:link w:val="8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Char"/>
    <w:basedOn w:val="12"/>
    <w:link w:val="7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7">
    <w:name w:val="批注框文本 Char"/>
    <w:basedOn w:val="12"/>
    <w:link w:val="6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4201</Words>
  <Characters>4349</Characters>
  <Lines>39</Lines>
  <Paragraphs>11</Paragraphs>
  <TotalTime>86</TotalTime>
  <ScaleCrop>false</ScaleCrop>
  <LinksUpToDate>false</LinksUpToDate>
  <CharactersWithSpaces>4618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2026-06-10T04:42:00Z</dcterms:created>
  <dc:creator>杉水</dc:creator>
  <cp:lastModifiedBy>云溪</cp:lastModifiedBy>
  <cp:lastPrinted>2026-08-17T05:34:00Z</cp:lastPrinted>
  <dcterms:modified xsi:type="dcterms:W3CDTF">2026-08-19T02:30:04Z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3AF3FDC0693C473FA911F72DA43ABC7D_13</vt:lpwstr>
  </property>
  <property fmtid="{D5CDD505-2E9C-101B-9397-08002B2CF9AE}" pid="4" name="KSOTemplateDocerSaveRecord">
    <vt:lpwstr>eyJoZGlkIjoiYWIxYWYyM2MyMDk1MmMxODRmOWVhNzdjYWY0YzU4ZGQiLCJ1c2VySWQiOiIyNzY2Mjg4OTIifQ==</vt:lpwstr>
  </property>
</Properties>
</file>